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F6922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3054A1">
              <w:rPr>
                <w:rFonts w:ascii="Book Antiqua" w:hAnsi="Book Antiqua"/>
                <w:b/>
                <w:color w:val="FFFF00"/>
                <w:sz w:val="24"/>
              </w:rPr>
              <w:t xml:space="preserve">Parenthesis </w:t>
            </w:r>
          </w:p>
          <w:p w:rsidR="003B0620" w:rsidRPr="003B0620" w:rsidRDefault="00476CDA" w:rsidP="00476CDA">
            <w:pPr>
              <w:tabs>
                <w:tab w:val="left" w:pos="8168"/>
              </w:tabs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ab/>
            </w:r>
          </w:p>
        </w:tc>
      </w:tr>
      <w:tr w:rsidR="003B0620" w:rsidTr="00394CE4">
        <w:trPr>
          <w:trHeight w:val="6729"/>
        </w:trPr>
        <w:tc>
          <w:tcPr>
            <w:tcW w:w="10682" w:type="dxa"/>
          </w:tcPr>
          <w:p w:rsidR="00B821A8" w:rsidRDefault="00B821A8" w:rsidP="00394CE4">
            <w:pPr>
              <w:shd w:val="clear" w:color="auto" w:fill="FFFFFF"/>
              <w:spacing w:before="100" w:beforeAutospacing="1" w:after="180"/>
              <w:rPr>
                <w:rFonts w:ascii="Book Antiqua" w:eastAsia="Times New Roman" w:hAnsi="Book Antiqua" w:cs="Times New Roman"/>
                <w:b/>
                <w:bCs/>
                <w:color w:val="000000"/>
                <w:szCs w:val="18"/>
                <w:lang w:eastAsia="en-GB"/>
              </w:rPr>
            </w:pPr>
          </w:p>
          <w:p w:rsidR="003B0620" w:rsidRPr="005D57DF" w:rsidRDefault="00394CE4" w:rsidP="00394CE4">
            <w:pPr>
              <w:shd w:val="clear" w:color="auto" w:fill="FFFFFF"/>
              <w:spacing w:before="100" w:beforeAutospacing="1" w:after="180"/>
              <w:rPr>
                <w:rFonts w:ascii="Book Antiqua" w:hAnsi="Book Antiqua"/>
                <w:lang w:val="en-US"/>
              </w:rPr>
            </w:pPr>
            <w:r w:rsidRPr="005D57DF">
              <w:rPr>
                <w:rFonts w:ascii="Book Antiqua" w:hAnsi="Book Antiqua"/>
                <w:lang w:val="en-US"/>
              </w:rPr>
              <w:t>P</w:t>
            </w:r>
            <w:r w:rsidR="003054A1" w:rsidRPr="005D57DF">
              <w:rPr>
                <w:rFonts w:ascii="Book Antiqua" w:hAnsi="Book Antiqua"/>
                <w:lang w:val="en-US"/>
              </w:rPr>
              <w:t>arenthesis is a word or phrase added as an explanation, to provide extra information, as an afterthought or as an aside in a sentence that would be complete without it. Parentheses are usually punctuated with commas, brackets or dashes. Brackets themselves are also called parentheses.</w:t>
            </w:r>
          </w:p>
          <w:p w:rsidR="00394CE4" w:rsidRPr="005D57DF" w:rsidRDefault="00394CE4" w:rsidP="00394CE4">
            <w:pPr>
              <w:shd w:val="clear" w:color="auto" w:fill="FFFFFF"/>
              <w:spacing w:before="100" w:beforeAutospacing="1" w:after="180"/>
              <w:rPr>
                <w:rFonts w:ascii="Book Antiqua" w:hAnsi="Book Antiqua"/>
                <w:lang w:val="en-US"/>
              </w:rPr>
            </w:pPr>
            <w:bookmarkStart w:id="0" w:name="_GoBack"/>
            <w:bookmarkEnd w:id="0"/>
            <w:r w:rsidRPr="005D57DF">
              <w:rPr>
                <w:rFonts w:ascii="Book Antiqua" w:hAnsi="Book Antiqua"/>
                <w:lang w:val="en-US"/>
              </w:rPr>
              <w:t>Parentheses can be used for the following purposes: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6686"/>
            </w:tblGrid>
            <w:tr w:rsidR="00394CE4" w:rsidRPr="005D57DF" w:rsidTr="006A1CB8">
              <w:tc>
                <w:tcPr>
                  <w:tcW w:w="3147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b/>
                      <w:sz w:val="22"/>
                      <w:szCs w:val="22"/>
                    </w:rPr>
                    <w:t>For clarity</w:t>
                  </w:r>
                </w:p>
              </w:tc>
              <w:tc>
                <w:tcPr>
                  <w:tcW w:w="6686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>The creature was detested (hated).</w:t>
                  </w:r>
                </w:p>
              </w:tc>
            </w:tr>
            <w:tr w:rsidR="00394CE4" w:rsidRPr="005D57DF" w:rsidTr="006A1CB8">
              <w:tc>
                <w:tcPr>
                  <w:tcW w:w="3147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b/>
                      <w:sz w:val="22"/>
                      <w:szCs w:val="22"/>
                    </w:rPr>
                    <w:t>As an explanation</w:t>
                  </w:r>
                </w:p>
              </w:tc>
              <w:tc>
                <w:tcPr>
                  <w:tcW w:w="6686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>Photosynthesis (the process of converting sunlight to food) is used by most plants.</w:t>
                  </w:r>
                </w:p>
              </w:tc>
            </w:tr>
            <w:tr w:rsidR="00394CE4" w:rsidRPr="005D57DF" w:rsidTr="006A1CB8">
              <w:tc>
                <w:tcPr>
                  <w:tcW w:w="3147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b/>
                      <w:sz w:val="22"/>
                      <w:szCs w:val="22"/>
                    </w:rPr>
                    <w:t>As an aside</w:t>
                  </w:r>
                </w:p>
              </w:tc>
              <w:tc>
                <w:tcPr>
                  <w:tcW w:w="6686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>He was lying (what a surprise) and no one seemed to notice.</w:t>
                  </w:r>
                </w:p>
              </w:tc>
            </w:tr>
            <w:tr w:rsidR="00394CE4" w:rsidRPr="005D57DF" w:rsidTr="006A1CB8">
              <w:tc>
                <w:tcPr>
                  <w:tcW w:w="3147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b/>
                      <w:sz w:val="22"/>
                      <w:szCs w:val="22"/>
                    </w:rPr>
                    <w:t>To add additional information</w:t>
                  </w:r>
                </w:p>
              </w:tc>
              <w:tc>
                <w:tcPr>
                  <w:tcW w:w="6686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>New pupils (especially from other countries) find it difficult to adjust to school.</w:t>
                  </w:r>
                </w:p>
              </w:tc>
            </w:tr>
            <w:tr w:rsidR="00394CE4" w:rsidRPr="005D57DF" w:rsidTr="006A1CB8">
              <w:tc>
                <w:tcPr>
                  <w:tcW w:w="3147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To add an example as a list </w:t>
                  </w:r>
                </w:p>
              </w:tc>
              <w:tc>
                <w:tcPr>
                  <w:tcW w:w="6686" w:type="dxa"/>
                </w:tcPr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 xml:space="preserve">My friends – Amy, </w:t>
                  </w:r>
                  <w:proofErr w:type="spellStart"/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>Rajan</w:t>
                  </w:r>
                  <w:proofErr w:type="spellEnd"/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 xml:space="preserve"> and Ling – are in Australia this week.</w:t>
                  </w:r>
                </w:p>
                <w:p w:rsidR="00394CE4" w:rsidRPr="005D57DF" w:rsidRDefault="00394CE4" w:rsidP="00B821A8">
                  <w:pPr>
                    <w:pStyle w:val="Default"/>
                    <w:framePr w:hSpace="180" w:wrap="around" w:vAnchor="text" w:hAnchor="text" w:y="125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 xml:space="preserve">Japanese, Germans, </w:t>
                  </w:r>
                  <w:proofErr w:type="gramStart"/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>Chinese</w:t>
                  </w:r>
                  <w:proofErr w:type="gramEnd"/>
                  <w:r w:rsidRPr="005D57DF">
                    <w:rPr>
                      <w:rFonts w:ascii="Book Antiqua" w:hAnsi="Book Antiqua"/>
                      <w:sz w:val="22"/>
                      <w:szCs w:val="22"/>
                    </w:rPr>
                    <w:t xml:space="preserve"> – all nationalities visit London.</w:t>
                  </w:r>
                </w:p>
              </w:tc>
            </w:tr>
          </w:tbl>
          <w:p w:rsidR="005E7641" w:rsidRPr="005D57DF" w:rsidRDefault="005E7641" w:rsidP="005E7641">
            <w:pPr>
              <w:pStyle w:val="Default"/>
              <w:ind w:left="720"/>
              <w:rPr>
                <w:rFonts w:ascii="Book Antiqua" w:hAnsi="Book Antiqua"/>
                <w:sz w:val="22"/>
                <w:szCs w:val="22"/>
              </w:rPr>
            </w:pPr>
          </w:p>
          <w:p w:rsidR="005E7641" w:rsidRPr="005D57DF" w:rsidRDefault="005E7641" w:rsidP="005E7641">
            <w:pPr>
              <w:pStyle w:val="Default"/>
              <w:numPr>
                <w:ilvl w:val="0"/>
                <w:numId w:val="5"/>
              </w:numPr>
              <w:rPr>
                <w:rFonts w:ascii="Book Antiqua" w:hAnsi="Book Antiqua"/>
                <w:sz w:val="22"/>
                <w:szCs w:val="22"/>
              </w:rPr>
            </w:pPr>
            <w:r w:rsidRPr="005D57DF">
              <w:rPr>
                <w:rFonts w:ascii="Book Antiqua" w:hAnsi="Book Antiqua"/>
                <w:sz w:val="22"/>
                <w:szCs w:val="22"/>
              </w:rPr>
              <w:t xml:space="preserve">Punctuating with brackets is the most common way to punctuate a parenthesis: </w:t>
            </w:r>
            <w:r w:rsidRPr="005D57DF">
              <w:rPr>
                <w:rFonts w:ascii="Book Antiqua" w:hAnsi="Book Antiqua"/>
                <w:color w:val="FF0000"/>
                <w:sz w:val="22"/>
                <w:szCs w:val="22"/>
              </w:rPr>
              <w:t>Never trust a lion (if you know what is good for you).</w:t>
            </w:r>
          </w:p>
          <w:p w:rsidR="005E7641" w:rsidRPr="005D57DF" w:rsidRDefault="005E7641" w:rsidP="005E7641">
            <w:pPr>
              <w:pStyle w:val="Default"/>
              <w:numPr>
                <w:ilvl w:val="0"/>
                <w:numId w:val="5"/>
              </w:numPr>
              <w:rPr>
                <w:rFonts w:ascii="Book Antiqua" w:hAnsi="Book Antiqua"/>
                <w:sz w:val="22"/>
                <w:szCs w:val="22"/>
              </w:rPr>
            </w:pPr>
            <w:r w:rsidRPr="005D57DF">
              <w:rPr>
                <w:rFonts w:ascii="Book Antiqua" w:hAnsi="Book Antiqua"/>
                <w:color w:val="auto"/>
                <w:sz w:val="22"/>
                <w:szCs w:val="22"/>
              </w:rPr>
              <w:t>Punctuating with commas gives the parenthesis less emphasis than brackets</w:t>
            </w:r>
            <w:r w:rsidRPr="005D57DF">
              <w:rPr>
                <w:rFonts w:ascii="Book Antiqua" w:hAnsi="Book Antiqua"/>
                <w:color w:val="FF0000"/>
                <w:sz w:val="22"/>
                <w:szCs w:val="22"/>
              </w:rPr>
              <w:t>: Never trust a lion, if you know what is good for you.</w:t>
            </w:r>
          </w:p>
          <w:p w:rsidR="005E7641" w:rsidRPr="005D57DF" w:rsidRDefault="005E7641" w:rsidP="005E7641">
            <w:pPr>
              <w:pStyle w:val="Default"/>
              <w:numPr>
                <w:ilvl w:val="0"/>
                <w:numId w:val="5"/>
              </w:numPr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5D57DF">
              <w:rPr>
                <w:rFonts w:ascii="Book Antiqua" w:hAnsi="Book Antiqua"/>
                <w:color w:val="auto"/>
                <w:sz w:val="22"/>
                <w:szCs w:val="22"/>
              </w:rPr>
              <w:t>Punctuating with dashes gives the parenthesis more emphasis than brackets</w:t>
            </w:r>
            <w:r w:rsidRPr="005D57DF">
              <w:rPr>
                <w:rFonts w:ascii="Book Antiqua" w:hAnsi="Book Antiqua"/>
                <w:sz w:val="22"/>
                <w:szCs w:val="22"/>
              </w:rPr>
              <w:t>:</w:t>
            </w:r>
            <w:r w:rsidRPr="005D57DF">
              <w:rPr>
                <w:rFonts w:ascii="Book Antiqua" w:hAnsi="Book Antiqua"/>
                <w:color w:val="FF0000"/>
                <w:sz w:val="22"/>
                <w:szCs w:val="22"/>
              </w:rPr>
              <w:t xml:space="preserve"> Never trust a lion – if you know what is good for you.</w:t>
            </w:r>
          </w:p>
          <w:p w:rsidR="00394CE4" w:rsidRPr="005D57DF" w:rsidRDefault="005E7641" w:rsidP="00394CE4">
            <w:pPr>
              <w:shd w:val="clear" w:color="auto" w:fill="FFFFFF"/>
              <w:spacing w:before="100" w:beforeAutospacing="1" w:after="180"/>
              <w:rPr>
                <w:rFonts w:ascii="Book Antiqua" w:hAnsi="Book Antiqua"/>
                <w:b/>
              </w:rPr>
            </w:pPr>
            <w:r w:rsidRPr="005D57DF">
              <w:rPr>
                <w:rFonts w:ascii="Book Antiqua" w:hAnsi="Book Antiqua"/>
                <w:b/>
              </w:rPr>
              <w:t>Punctuation rules</w:t>
            </w:r>
          </w:p>
          <w:p w:rsidR="005E7641" w:rsidRPr="005D57DF" w:rsidRDefault="005E7641" w:rsidP="005E7641">
            <w:pPr>
              <w:pStyle w:val="Default"/>
              <w:numPr>
                <w:ilvl w:val="0"/>
                <w:numId w:val="5"/>
              </w:numPr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5D57DF">
              <w:rPr>
                <w:rFonts w:ascii="Book Antiqua" w:hAnsi="Book Antiqua"/>
                <w:color w:val="auto"/>
                <w:sz w:val="22"/>
                <w:szCs w:val="22"/>
              </w:rPr>
              <w:t>Only put a full stop inside the brackets if the parenthesis is a complete sentence and stands alone:</w:t>
            </w:r>
            <w:r w:rsidRPr="005D57DF">
              <w:rPr>
                <w:rFonts w:ascii="Book Antiqua" w:hAnsi="Book Antiqua"/>
                <w:color w:val="FF0000"/>
                <w:sz w:val="22"/>
                <w:szCs w:val="22"/>
              </w:rPr>
              <w:t xml:space="preserve"> She went out. (Well, we all expected that.)</w:t>
            </w:r>
          </w:p>
          <w:p w:rsidR="005E7641" w:rsidRPr="005D57DF" w:rsidRDefault="005E7641" w:rsidP="005E7641">
            <w:pPr>
              <w:pStyle w:val="Default"/>
              <w:numPr>
                <w:ilvl w:val="0"/>
                <w:numId w:val="5"/>
              </w:numPr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5D57DF">
              <w:rPr>
                <w:rFonts w:ascii="Book Antiqua" w:hAnsi="Book Antiqua"/>
                <w:color w:val="auto"/>
                <w:sz w:val="22"/>
                <w:szCs w:val="22"/>
              </w:rPr>
              <w:t>Put a question mark or an exclamation at the end if appropriate:</w:t>
            </w:r>
            <w:r w:rsidRPr="005D57DF">
              <w:rPr>
                <w:rFonts w:ascii="Book Antiqua" w:hAnsi="Book Antiqua"/>
                <w:color w:val="FF0000"/>
                <w:sz w:val="22"/>
                <w:szCs w:val="22"/>
              </w:rPr>
              <w:t xml:space="preserve"> She loved my brother (why?) but hated me. She loved my brother (what an idiot!) but hated me.</w:t>
            </w:r>
          </w:p>
          <w:p w:rsidR="005E7641" w:rsidRPr="005E7641" w:rsidRDefault="005E7641" w:rsidP="00394CE4">
            <w:pPr>
              <w:shd w:val="clear" w:color="auto" w:fill="FFFFFF"/>
              <w:spacing w:before="100" w:beforeAutospacing="1" w:after="180"/>
              <w:rPr>
                <w:rFonts w:ascii="Verdana" w:hAnsi="Verdana"/>
                <w:b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CC6661" w:rsidRDefault="00CC6661" w:rsidP="00CC6661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CC6661" w:rsidRDefault="00CC6661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 w:rsidP="005D57DF">
      <w:pPr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C7"/>
    <w:multiLevelType w:val="hybridMultilevel"/>
    <w:tmpl w:val="4EDA8604"/>
    <w:lvl w:ilvl="0" w:tplc="F53ED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4E53"/>
    <w:multiLevelType w:val="hybridMultilevel"/>
    <w:tmpl w:val="8CDEB858"/>
    <w:lvl w:ilvl="0" w:tplc="8BAE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6912"/>
    <w:multiLevelType w:val="hybridMultilevel"/>
    <w:tmpl w:val="6B0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6544"/>
    <w:multiLevelType w:val="hybridMultilevel"/>
    <w:tmpl w:val="76D8D8BC"/>
    <w:lvl w:ilvl="0" w:tplc="464C4C74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3054A1"/>
    <w:rsid w:val="00394CE4"/>
    <w:rsid w:val="003B0620"/>
    <w:rsid w:val="003C2545"/>
    <w:rsid w:val="003D33C8"/>
    <w:rsid w:val="004072C7"/>
    <w:rsid w:val="00476CDA"/>
    <w:rsid w:val="00484D24"/>
    <w:rsid w:val="004E489D"/>
    <w:rsid w:val="00540692"/>
    <w:rsid w:val="005509FE"/>
    <w:rsid w:val="005521D9"/>
    <w:rsid w:val="0059348A"/>
    <w:rsid w:val="005935AD"/>
    <w:rsid w:val="005D4F8F"/>
    <w:rsid w:val="005D57DF"/>
    <w:rsid w:val="005E0CEB"/>
    <w:rsid w:val="005E7641"/>
    <w:rsid w:val="00601D33"/>
    <w:rsid w:val="00685BEE"/>
    <w:rsid w:val="006B5501"/>
    <w:rsid w:val="00774114"/>
    <w:rsid w:val="00863632"/>
    <w:rsid w:val="00882110"/>
    <w:rsid w:val="00882330"/>
    <w:rsid w:val="008A6C73"/>
    <w:rsid w:val="00A50DCB"/>
    <w:rsid w:val="00AE1598"/>
    <w:rsid w:val="00B14E5D"/>
    <w:rsid w:val="00B821A8"/>
    <w:rsid w:val="00BA3087"/>
    <w:rsid w:val="00BA7970"/>
    <w:rsid w:val="00BB523B"/>
    <w:rsid w:val="00BC6B69"/>
    <w:rsid w:val="00BE3A4D"/>
    <w:rsid w:val="00C8628F"/>
    <w:rsid w:val="00CC6661"/>
    <w:rsid w:val="00CF6E7F"/>
    <w:rsid w:val="00DA06FF"/>
    <w:rsid w:val="00DC2E53"/>
    <w:rsid w:val="00DF6922"/>
    <w:rsid w:val="00E35449"/>
    <w:rsid w:val="00E625ED"/>
    <w:rsid w:val="00E8595B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  <w:style w:type="character" w:customStyle="1" w:styleId="Heading2Char">
    <w:name w:val="Heading 2 Char"/>
    <w:basedOn w:val="DefaultParagraphFont"/>
    <w:link w:val="Heading2"/>
    <w:uiPriority w:val="9"/>
    <w:rsid w:val="00685B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6922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39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476CDA"/>
  </w:style>
  <w:style w:type="character" w:customStyle="1" w:styleId="Heading2Char">
    <w:name w:val="Heading 2 Char"/>
    <w:basedOn w:val="DefaultParagraphFont"/>
    <w:link w:val="Heading2"/>
    <w:uiPriority w:val="9"/>
    <w:rsid w:val="00685B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692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6922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39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C5E5-3B2B-4B40-B94F-8D49467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522FB5DC.dotm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8</cp:revision>
  <dcterms:created xsi:type="dcterms:W3CDTF">2016-11-18T15:21:00Z</dcterms:created>
  <dcterms:modified xsi:type="dcterms:W3CDTF">2018-07-25T08:38:00Z</dcterms:modified>
</cp:coreProperties>
</file>