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AC3F36">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0F45C6">
              <w:rPr>
                <w:rFonts w:ascii="Book Antiqua" w:hAnsi="Book Antiqua"/>
                <w:b/>
                <w:color w:val="FFFF00"/>
                <w:sz w:val="24"/>
              </w:rPr>
              <w:t>Antonym and Synonym</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0F45C6" w:rsidP="000F45C6">
            <w:pPr>
              <w:pStyle w:val="NoSpacing"/>
              <w:rPr>
                <w:rFonts w:ascii="Book Antiqua" w:hAnsi="Book Antiqua"/>
              </w:rPr>
            </w:pPr>
            <w:r w:rsidRPr="000F45C6">
              <w:rPr>
                <w:rFonts w:ascii="Book Antiqua" w:hAnsi="Book Antiqua"/>
              </w:rPr>
              <w:t>A synonym is a word that means exactly the same as, or very nearly the same as, another word in the same language. For example, "close" is a synonym of "shut".</w:t>
            </w:r>
          </w:p>
          <w:p w:rsidR="000F45C6" w:rsidRDefault="000F45C6" w:rsidP="000F45C6">
            <w:pPr>
              <w:pStyle w:val="NoSpacing"/>
              <w:rPr>
                <w:rFonts w:ascii="Book Antiqua" w:hAnsi="Book Antiqua"/>
              </w:rPr>
            </w:pPr>
          </w:p>
          <w:p w:rsidR="000F45C6" w:rsidRDefault="000F45C6" w:rsidP="000F45C6">
            <w:pPr>
              <w:pStyle w:val="NoSpacing"/>
              <w:rPr>
                <w:rFonts w:ascii="Book Antiqua" w:hAnsi="Book Antiqua"/>
              </w:rPr>
            </w:pPr>
            <w:r w:rsidRPr="000F45C6">
              <w:rPr>
                <w:rFonts w:ascii="Book Antiqua" w:hAnsi="Book Antiqua"/>
              </w:rPr>
              <w:t>Note that a synonym may share an identical meaning with another word, but the two words are not necessarily interchangeable. For example, "blow up" and "explode" have the same meaning, but "blow up" is informal (used more in speech) and "explode" is more formal (used more in writing and careful speech).</w:t>
            </w:r>
          </w:p>
          <w:p w:rsidR="000F45C6" w:rsidRDefault="000F45C6" w:rsidP="000F45C6">
            <w:pPr>
              <w:pStyle w:val="NoSpacing"/>
              <w:rPr>
                <w:rFonts w:ascii="Book Antiqua" w:hAnsi="Book Antiqua"/>
              </w:rPr>
            </w:pPr>
          </w:p>
          <w:p w:rsidR="000F45C6" w:rsidRPr="000F45C6" w:rsidRDefault="000F45C6" w:rsidP="000F45C6">
            <w:pPr>
              <w:pStyle w:val="NoSpacing"/>
              <w:rPr>
                <w:rFonts w:ascii="Book Antiqua" w:hAnsi="Book Antiqua"/>
              </w:rPr>
            </w:pPr>
            <w:r w:rsidRPr="000F45C6">
              <w:rPr>
                <w:rFonts w:ascii="Book Antiqua" w:hAnsi="Book Antiqua"/>
              </w:rPr>
              <w:t>Here are some more examples of synonyms:</w:t>
            </w:r>
          </w:p>
          <w:tbl>
            <w:tblPr>
              <w:tblW w:w="0" w:type="auto"/>
              <w:tblCellMar>
                <w:top w:w="15" w:type="dxa"/>
                <w:left w:w="15" w:type="dxa"/>
                <w:bottom w:w="15" w:type="dxa"/>
                <w:right w:w="15" w:type="dxa"/>
              </w:tblCellMar>
              <w:tblLook w:val="04A0" w:firstRow="1" w:lastRow="0" w:firstColumn="1" w:lastColumn="0" w:noHBand="0" w:noVBand="1"/>
            </w:tblPr>
            <w:tblGrid>
              <w:gridCol w:w="1535"/>
              <w:gridCol w:w="1429"/>
              <w:gridCol w:w="1363"/>
              <w:gridCol w:w="1706"/>
            </w:tblGrid>
            <w:tr w:rsidR="000F45C6" w:rsidRPr="000F45C6" w:rsidTr="000F45C6">
              <w:tc>
                <w:tcPr>
                  <w:tcW w:w="0" w:type="auto"/>
                  <w:gridSpan w:val="3"/>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vAlign w:val="bottom"/>
                  <w:hideMark/>
                </w:tcPr>
                <w:p w:rsidR="000F45C6" w:rsidRPr="000F45C6" w:rsidRDefault="000F45C6" w:rsidP="00440A79">
                  <w:pPr>
                    <w:pStyle w:val="NoSpacing"/>
                    <w:framePr w:hSpace="180" w:wrap="around" w:vAnchor="text" w:hAnchor="text" w:y="125"/>
                    <w:rPr>
                      <w:rFonts w:ascii="Book Antiqua" w:hAnsi="Book Antiqua"/>
                      <w:b/>
                      <w:bCs/>
                    </w:rPr>
                  </w:pPr>
                  <w:r w:rsidRPr="000F45C6">
                    <w:rPr>
                      <w:rFonts w:ascii="Book Antiqua" w:hAnsi="Book Antiqua"/>
                      <w:b/>
                      <w:bCs/>
                    </w:rPr>
                    <w:t>synonyms</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vAlign w:val="bottom"/>
                  <w:hideMark/>
                </w:tcPr>
                <w:p w:rsidR="000F45C6" w:rsidRPr="000F45C6" w:rsidRDefault="000F45C6" w:rsidP="00440A79">
                  <w:pPr>
                    <w:pStyle w:val="NoSpacing"/>
                    <w:framePr w:hSpace="180" w:wrap="around" w:vAnchor="text" w:hAnchor="text" w:y="125"/>
                    <w:rPr>
                      <w:rFonts w:ascii="Book Antiqua" w:hAnsi="Book Antiqua"/>
                      <w:b/>
                      <w:bCs/>
                    </w:rPr>
                  </w:pPr>
                  <w:r w:rsidRPr="000F45C6">
                    <w:rPr>
                      <w:rFonts w:ascii="Book Antiqua" w:hAnsi="Book Antiqua"/>
                      <w:b/>
                      <w:bCs/>
                    </w:rPr>
                    <w:t>part of speech</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close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shut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 </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verb</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blow up</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explode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 </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verb</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blow up</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inflate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 </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verb</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shallow</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superficial</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 </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w:t>
                  </w:r>
                  <w:bookmarkStart w:id="0" w:name="_GoBack"/>
                  <w:bookmarkEnd w:id="0"/>
                  <w:r w:rsidRPr="000F45C6">
                    <w:rPr>
                      <w:rFonts w:ascii="Book Antiqua" w:hAnsi="Book Antiqua"/>
                    </w:rPr>
                    <w:t>jective</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eager</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earnest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keen</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spontaneous</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impromptu</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unplanned</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bl>
          <w:p w:rsidR="000F45C6" w:rsidRDefault="000F45C6" w:rsidP="000F45C6">
            <w:pPr>
              <w:pStyle w:val="NoSpacing"/>
              <w:rPr>
                <w:rFonts w:ascii="Book Antiqua" w:hAnsi="Book Antiqua"/>
              </w:rPr>
            </w:pPr>
          </w:p>
          <w:p w:rsidR="000F45C6" w:rsidRDefault="000F45C6" w:rsidP="000F45C6">
            <w:pPr>
              <w:pStyle w:val="NoSpacing"/>
              <w:rPr>
                <w:rFonts w:ascii="Book Antiqua" w:hAnsi="Book Antiqua"/>
              </w:rPr>
            </w:pPr>
            <w:r w:rsidRPr="000F45C6">
              <w:rPr>
                <w:rFonts w:ascii="Book Antiqua" w:hAnsi="Book Antiqua"/>
              </w:rPr>
              <w:t>An antonym is a word that means the opposite of another word. For example "bad" is an antonym of "good". Here are some more examples:</w:t>
            </w:r>
          </w:p>
          <w:p w:rsidR="000F45C6" w:rsidRPr="000F45C6" w:rsidRDefault="000F45C6" w:rsidP="000F45C6">
            <w:pPr>
              <w:pStyle w:val="NoSpacing"/>
              <w:rPr>
                <w:rFonts w:ascii="Book Antiqua" w:hAnsi="Book Antiqua"/>
              </w:rPr>
            </w:pPr>
          </w:p>
          <w:tbl>
            <w:tblPr>
              <w:tblW w:w="0" w:type="auto"/>
              <w:tblCellMar>
                <w:top w:w="15" w:type="dxa"/>
                <w:left w:w="15" w:type="dxa"/>
                <w:bottom w:w="15" w:type="dxa"/>
                <w:right w:w="15" w:type="dxa"/>
              </w:tblCellMar>
              <w:tblLook w:val="04A0" w:firstRow="1" w:lastRow="0" w:firstColumn="1" w:lastColumn="0" w:noHBand="0" w:noVBand="1"/>
            </w:tblPr>
            <w:tblGrid>
              <w:gridCol w:w="3027"/>
              <w:gridCol w:w="1350"/>
              <w:gridCol w:w="1726"/>
              <w:gridCol w:w="1706"/>
            </w:tblGrid>
            <w:tr w:rsidR="000F45C6" w:rsidRPr="000F45C6" w:rsidTr="000F45C6">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vAlign w:val="bottom"/>
                  <w:hideMark/>
                </w:tcPr>
                <w:p w:rsidR="000F45C6" w:rsidRPr="000F45C6" w:rsidRDefault="000F45C6" w:rsidP="00440A79">
                  <w:pPr>
                    <w:pStyle w:val="NoSpacing"/>
                    <w:framePr w:hSpace="180" w:wrap="around" w:vAnchor="text" w:hAnchor="text" w:y="125"/>
                    <w:rPr>
                      <w:rFonts w:ascii="Book Antiqua" w:hAnsi="Book Antiqua"/>
                      <w:b/>
                      <w:bCs/>
                    </w:rPr>
                  </w:pPr>
                  <w:r w:rsidRPr="000F45C6">
                    <w:rPr>
                      <w:rFonts w:ascii="Book Antiqua" w:hAnsi="Book Antiqua"/>
                      <w:b/>
                      <w:bCs/>
                    </w:rPr>
                    <w:t>prefix</w:t>
                  </w:r>
                </w:p>
              </w:tc>
              <w:tc>
                <w:tcPr>
                  <w:tcW w:w="0" w:type="auto"/>
                  <w:gridSpan w:val="2"/>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vAlign w:val="bottom"/>
                  <w:hideMark/>
                </w:tcPr>
                <w:p w:rsidR="000F45C6" w:rsidRPr="000F45C6" w:rsidRDefault="000F45C6" w:rsidP="00440A79">
                  <w:pPr>
                    <w:pStyle w:val="NoSpacing"/>
                    <w:framePr w:hSpace="180" w:wrap="around" w:vAnchor="text" w:hAnchor="text" w:y="125"/>
                    <w:rPr>
                      <w:rFonts w:ascii="Book Antiqua" w:hAnsi="Book Antiqua"/>
                      <w:b/>
                      <w:bCs/>
                    </w:rPr>
                  </w:pPr>
                  <w:r w:rsidRPr="000F45C6">
                    <w:rPr>
                      <w:rFonts w:ascii="Book Antiqua" w:hAnsi="Book Antiqua"/>
                      <w:b/>
                      <w:bCs/>
                    </w:rPr>
                    <w:t>antonyms</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vAlign w:val="bottom"/>
                  <w:hideMark/>
                </w:tcPr>
                <w:p w:rsidR="000F45C6" w:rsidRPr="000F45C6" w:rsidRDefault="000F45C6" w:rsidP="00440A79">
                  <w:pPr>
                    <w:pStyle w:val="NoSpacing"/>
                    <w:framePr w:hSpace="180" w:wrap="around" w:vAnchor="text" w:hAnchor="text" w:y="125"/>
                    <w:rPr>
                      <w:rFonts w:ascii="Book Antiqua" w:hAnsi="Book Antiqua"/>
                      <w:b/>
                      <w:bCs/>
                    </w:rPr>
                  </w:pPr>
                  <w:r w:rsidRPr="000F45C6">
                    <w:rPr>
                      <w:rFonts w:ascii="Book Antiqua" w:hAnsi="Book Antiqua"/>
                      <w:b/>
                      <w:bCs/>
                    </w:rPr>
                    <w:t>part of speech</w:t>
                  </w:r>
                </w:p>
              </w:tc>
            </w:tr>
            <w:tr w:rsidR="000F45C6" w:rsidRPr="000F45C6" w:rsidTr="000F45C6">
              <w:tc>
                <w:tcPr>
                  <w:tcW w:w="0" w:type="auto"/>
                  <w:vMerge w:val="restart"/>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 </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good</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bad</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small</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big</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easy</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hard</w:t>
                  </w:r>
                  <w:r w:rsidRPr="000F45C6">
                    <w:rPr>
                      <w:rFonts w:ascii="Book Antiqua" w:hAnsi="Book Antiqua"/>
                    </w:rPr>
                    <w:br/>
                    <w:t>difficult</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soft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hard</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male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female</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r w:rsidRPr="000F45C6">
                    <w:rPr>
                      <w:rFonts w:ascii="Book Antiqua" w:hAnsi="Book Antiqua"/>
                    </w:rPr>
                    <w:br/>
                    <w:t>noun</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up</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down</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preposition</w:t>
                  </w:r>
                  <w:r w:rsidRPr="000F45C6">
                    <w:rPr>
                      <w:rFonts w:ascii="Book Antiqua" w:hAnsi="Book Antiqua"/>
                    </w:rPr>
                    <w:br/>
                    <w:t>adverb</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go</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come</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verb</w:t>
                  </w:r>
                </w:p>
              </w:tc>
            </w:tr>
            <w:tr w:rsidR="000F45C6" w:rsidRPr="000F45C6" w:rsidTr="000F45C6">
              <w:tc>
                <w:tcPr>
                  <w:tcW w:w="0" w:type="auto"/>
                  <w:vMerge w:val="restart"/>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made by adding prefix un-</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able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unable</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selfish</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unselfish</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do</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undo</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verb</w:t>
                  </w:r>
                </w:p>
              </w:tc>
            </w:tr>
            <w:tr w:rsidR="000F45C6" w:rsidRPr="000F45C6" w:rsidTr="000F45C6">
              <w:tc>
                <w:tcPr>
                  <w:tcW w:w="0" w:type="auto"/>
                  <w:vMerge w:val="restart"/>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made by adding prefix in-</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decent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indecent</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tolerant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intolerant</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human</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inhuman</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p>
              </w:tc>
            </w:tr>
            <w:tr w:rsidR="000F45C6" w:rsidRPr="000F45C6" w:rsidTr="000F45C6">
              <w:tc>
                <w:tcPr>
                  <w:tcW w:w="0" w:type="auto"/>
                  <w:vMerge w:val="restart"/>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made by adding prefix non-</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conformist</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nonconformist</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r w:rsidRPr="000F45C6">
                    <w:rPr>
                      <w:rFonts w:ascii="Book Antiqua" w:hAnsi="Book Antiqua"/>
                    </w:rPr>
                    <w:br/>
                    <w:t>noun</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essential</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nonessential</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adjective</w:t>
                  </w:r>
                  <w:r w:rsidRPr="000F45C6">
                    <w:rPr>
                      <w:rFonts w:ascii="Book Antiqua" w:hAnsi="Book Antiqua"/>
                    </w:rPr>
                    <w:br/>
                    <w:t>noun</w:t>
                  </w:r>
                </w:p>
              </w:tc>
            </w:tr>
            <w:tr w:rsidR="000F45C6" w:rsidRPr="000F45C6" w:rsidTr="000F45C6">
              <w:tc>
                <w:tcPr>
                  <w:tcW w:w="0" w:type="auto"/>
                  <w:vMerge/>
                  <w:tcBorders>
                    <w:top w:val="single" w:sz="12" w:space="0" w:color="666666"/>
                    <w:left w:val="single" w:sz="12" w:space="0" w:color="666666"/>
                    <w:bottom w:val="single" w:sz="12" w:space="0" w:color="666666"/>
                    <w:right w:val="single" w:sz="12" w:space="0" w:color="666666"/>
                  </w:tcBorders>
                  <w:vAlign w:val="center"/>
                  <w:hideMark/>
                </w:tcPr>
                <w:p w:rsidR="000F45C6" w:rsidRPr="000F45C6" w:rsidRDefault="000F45C6" w:rsidP="00440A79">
                  <w:pPr>
                    <w:pStyle w:val="NoSpacing"/>
                    <w:framePr w:hSpace="180" w:wrap="around" w:vAnchor="text" w:hAnchor="text" w:y="125"/>
                    <w:rPr>
                      <w:rFonts w:ascii="Book Antiqua" w:hAnsi="Book Antiqua"/>
                    </w:rPr>
                  </w:pP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sense</w:t>
                  </w:r>
                </w:p>
              </w:tc>
              <w:tc>
                <w:tcPr>
                  <w:tcW w:w="0" w:type="auto"/>
                  <w:tcBorders>
                    <w:top w:val="single" w:sz="12" w:space="0" w:color="666666"/>
                    <w:left w:val="single" w:sz="12" w:space="0" w:color="666666"/>
                    <w:bottom w:val="single" w:sz="12" w:space="0" w:color="666666"/>
                    <w:right w:val="single" w:sz="12" w:space="0" w:color="666666"/>
                  </w:tcBorders>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nonsense</w:t>
                  </w:r>
                </w:p>
              </w:tc>
              <w:tc>
                <w:tcPr>
                  <w:tcW w:w="0" w:type="auto"/>
                  <w:tcBorders>
                    <w:top w:val="single" w:sz="12" w:space="0" w:color="666666"/>
                    <w:left w:val="single" w:sz="12" w:space="0" w:color="666666"/>
                    <w:bottom w:val="single" w:sz="12" w:space="0" w:color="666666"/>
                    <w:right w:val="single" w:sz="12" w:space="0" w:color="666666"/>
                  </w:tcBorders>
                  <w:shd w:val="clear" w:color="auto" w:fill="FFFFCC"/>
                  <w:tcMar>
                    <w:top w:w="150" w:type="dxa"/>
                    <w:left w:w="150" w:type="dxa"/>
                    <w:bottom w:w="150" w:type="dxa"/>
                    <w:right w:w="150" w:type="dxa"/>
                  </w:tcMar>
                  <w:hideMark/>
                </w:tcPr>
                <w:p w:rsidR="000F45C6" w:rsidRPr="000F45C6" w:rsidRDefault="000F45C6" w:rsidP="00440A79">
                  <w:pPr>
                    <w:pStyle w:val="NoSpacing"/>
                    <w:framePr w:hSpace="180" w:wrap="around" w:vAnchor="text" w:hAnchor="text" w:y="125"/>
                    <w:rPr>
                      <w:rFonts w:ascii="Book Antiqua" w:hAnsi="Book Antiqua"/>
                    </w:rPr>
                  </w:pPr>
                  <w:r w:rsidRPr="000F45C6">
                    <w:rPr>
                      <w:rFonts w:ascii="Book Antiqua" w:hAnsi="Book Antiqua"/>
                    </w:rPr>
                    <w:t>noun</w:t>
                  </w:r>
                </w:p>
              </w:tc>
            </w:tr>
          </w:tbl>
          <w:p w:rsidR="000F45C6" w:rsidRDefault="000F45C6" w:rsidP="000F45C6">
            <w:pPr>
              <w:pStyle w:val="NoSpacing"/>
              <w:rPr>
                <w:rFonts w:ascii="Book Antiqua" w:hAnsi="Book Antiqua"/>
              </w:rPr>
            </w:pPr>
          </w:p>
        </w:tc>
      </w:tr>
    </w:tbl>
    <w:p w:rsidR="003B0620" w:rsidRDefault="003B0620">
      <w:pPr>
        <w:rPr>
          <w:rFonts w:ascii="Book Antiqua" w:hAnsi="Book Antiqua"/>
        </w:rPr>
      </w:pPr>
    </w:p>
    <w:p w:rsidR="007F37C6" w:rsidRDefault="007F37C6" w:rsidP="007F37C6">
      <w:pPr>
        <w:rPr>
          <w:rFonts w:ascii="Book Antiqua" w:hAnsi="Book Antiqua"/>
        </w:rPr>
      </w:pPr>
      <w:r>
        <w:rPr>
          <w:rFonts w:ascii="Book Antiqua" w:hAnsi="Book Antiqua"/>
        </w:rPr>
        <w:t>© Copyright Grammar Masters</w:t>
      </w:r>
    </w:p>
    <w:p w:rsidR="007F37C6" w:rsidRDefault="007F37C6">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85"/>
    <w:multiLevelType w:val="multilevel"/>
    <w:tmpl w:val="378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0540F2"/>
    <w:multiLevelType w:val="multilevel"/>
    <w:tmpl w:val="665E7F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4A4BE8"/>
    <w:multiLevelType w:val="hybridMultilevel"/>
    <w:tmpl w:val="6BCA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47CD1"/>
    <w:rsid w:val="0007107F"/>
    <w:rsid w:val="000F45C6"/>
    <w:rsid w:val="001D52A1"/>
    <w:rsid w:val="003B0620"/>
    <w:rsid w:val="003C2545"/>
    <w:rsid w:val="003D33C8"/>
    <w:rsid w:val="004072C7"/>
    <w:rsid w:val="00440A79"/>
    <w:rsid w:val="00484D24"/>
    <w:rsid w:val="004E489D"/>
    <w:rsid w:val="00540692"/>
    <w:rsid w:val="005509FE"/>
    <w:rsid w:val="005521D9"/>
    <w:rsid w:val="0059348A"/>
    <w:rsid w:val="005935AD"/>
    <w:rsid w:val="005D4F8F"/>
    <w:rsid w:val="005E0CEB"/>
    <w:rsid w:val="00601D33"/>
    <w:rsid w:val="006B5501"/>
    <w:rsid w:val="00774114"/>
    <w:rsid w:val="007F37C6"/>
    <w:rsid w:val="00863632"/>
    <w:rsid w:val="00882110"/>
    <w:rsid w:val="00882330"/>
    <w:rsid w:val="008A6C73"/>
    <w:rsid w:val="00A50DCB"/>
    <w:rsid w:val="00AC3F36"/>
    <w:rsid w:val="00AE1598"/>
    <w:rsid w:val="00AF1125"/>
    <w:rsid w:val="00B14E5D"/>
    <w:rsid w:val="00BA3087"/>
    <w:rsid w:val="00BA7970"/>
    <w:rsid w:val="00BB523B"/>
    <w:rsid w:val="00BC6B69"/>
    <w:rsid w:val="00BE3A4D"/>
    <w:rsid w:val="00C03DAF"/>
    <w:rsid w:val="00C8628F"/>
    <w:rsid w:val="00CF6E7F"/>
    <w:rsid w:val="00DA06FF"/>
    <w:rsid w:val="00DC2E53"/>
    <w:rsid w:val="00E35449"/>
    <w:rsid w:val="00EE2C3E"/>
    <w:rsid w:val="00F16C7B"/>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C0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3DAF"/>
    <w:rPr>
      <w:b/>
      <w:bCs/>
    </w:rPr>
  </w:style>
  <w:style w:type="character" w:customStyle="1" w:styleId="apple-converted-space">
    <w:name w:val="apple-converted-space"/>
    <w:basedOn w:val="DefaultParagraphFont"/>
    <w:rsid w:val="00C03DAF"/>
  </w:style>
  <w:style w:type="character" w:styleId="Hyperlink">
    <w:name w:val="Hyperlink"/>
    <w:basedOn w:val="DefaultParagraphFont"/>
    <w:uiPriority w:val="99"/>
    <w:unhideWhenUsed/>
    <w:rsid w:val="00C03DAF"/>
    <w:rPr>
      <w:color w:val="0000FF"/>
      <w:u w:val="single"/>
    </w:rPr>
  </w:style>
  <w:style w:type="character" w:styleId="Emphasis">
    <w:name w:val="Emphasis"/>
    <w:basedOn w:val="DefaultParagraphFont"/>
    <w:uiPriority w:val="20"/>
    <w:qFormat/>
    <w:rsid w:val="00C03DAF"/>
    <w:rPr>
      <w:i/>
      <w:iCs/>
    </w:rPr>
  </w:style>
  <w:style w:type="paragraph" w:customStyle="1" w:styleId="example">
    <w:name w:val="example"/>
    <w:basedOn w:val="Normal"/>
    <w:rsid w:val="00C0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cial01">
    <w:name w:val="special_01"/>
    <w:basedOn w:val="DefaultParagraphFont"/>
    <w:rsid w:val="00C03DAF"/>
  </w:style>
  <w:style w:type="paragraph" w:styleId="NoSpacing">
    <w:name w:val="No Spacing"/>
    <w:uiPriority w:val="1"/>
    <w:qFormat/>
    <w:rsid w:val="00C03D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C0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3DAF"/>
    <w:rPr>
      <w:b/>
      <w:bCs/>
    </w:rPr>
  </w:style>
  <w:style w:type="character" w:customStyle="1" w:styleId="apple-converted-space">
    <w:name w:val="apple-converted-space"/>
    <w:basedOn w:val="DefaultParagraphFont"/>
    <w:rsid w:val="00C03DAF"/>
  </w:style>
  <w:style w:type="character" w:styleId="Hyperlink">
    <w:name w:val="Hyperlink"/>
    <w:basedOn w:val="DefaultParagraphFont"/>
    <w:uiPriority w:val="99"/>
    <w:unhideWhenUsed/>
    <w:rsid w:val="00C03DAF"/>
    <w:rPr>
      <w:color w:val="0000FF"/>
      <w:u w:val="single"/>
    </w:rPr>
  </w:style>
  <w:style w:type="character" w:styleId="Emphasis">
    <w:name w:val="Emphasis"/>
    <w:basedOn w:val="DefaultParagraphFont"/>
    <w:uiPriority w:val="20"/>
    <w:qFormat/>
    <w:rsid w:val="00C03DAF"/>
    <w:rPr>
      <w:i/>
      <w:iCs/>
    </w:rPr>
  </w:style>
  <w:style w:type="paragraph" w:customStyle="1" w:styleId="example">
    <w:name w:val="example"/>
    <w:basedOn w:val="Normal"/>
    <w:rsid w:val="00C0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cial01">
    <w:name w:val="special_01"/>
    <w:basedOn w:val="DefaultParagraphFont"/>
    <w:rsid w:val="00C03DAF"/>
  </w:style>
  <w:style w:type="paragraph" w:styleId="NoSpacing">
    <w:name w:val="No Spacing"/>
    <w:uiPriority w:val="1"/>
    <w:qFormat/>
    <w:rsid w:val="00C03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1701">
      <w:bodyDiv w:val="1"/>
      <w:marLeft w:val="0"/>
      <w:marRight w:val="0"/>
      <w:marTop w:val="0"/>
      <w:marBottom w:val="0"/>
      <w:divBdr>
        <w:top w:val="none" w:sz="0" w:space="0" w:color="auto"/>
        <w:left w:val="none" w:sz="0" w:space="0" w:color="auto"/>
        <w:bottom w:val="none" w:sz="0" w:space="0" w:color="auto"/>
        <w:right w:val="none" w:sz="0" w:space="0" w:color="auto"/>
      </w:divBdr>
    </w:div>
    <w:div w:id="609433797">
      <w:bodyDiv w:val="1"/>
      <w:marLeft w:val="0"/>
      <w:marRight w:val="0"/>
      <w:marTop w:val="0"/>
      <w:marBottom w:val="0"/>
      <w:divBdr>
        <w:top w:val="none" w:sz="0" w:space="0" w:color="auto"/>
        <w:left w:val="none" w:sz="0" w:space="0" w:color="auto"/>
        <w:bottom w:val="none" w:sz="0" w:space="0" w:color="auto"/>
        <w:right w:val="none" w:sz="0" w:space="0" w:color="auto"/>
      </w:divBdr>
    </w:div>
    <w:div w:id="1154564635">
      <w:bodyDiv w:val="1"/>
      <w:marLeft w:val="0"/>
      <w:marRight w:val="0"/>
      <w:marTop w:val="0"/>
      <w:marBottom w:val="0"/>
      <w:divBdr>
        <w:top w:val="none" w:sz="0" w:space="0" w:color="auto"/>
        <w:left w:val="none" w:sz="0" w:space="0" w:color="auto"/>
        <w:bottom w:val="none" w:sz="0" w:space="0" w:color="auto"/>
        <w:right w:val="none" w:sz="0" w:space="0" w:color="auto"/>
      </w:divBdr>
    </w:div>
    <w:div w:id="1467624562">
      <w:bodyDiv w:val="1"/>
      <w:marLeft w:val="0"/>
      <w:marRight w:val="0"/>
      <w:marTop w:val="0"/>
      <w:marBottom w:val="0"/>
      <w:divBdr>
        <w:top w:val="none" w:sz="0" w:space="0" w:color="auto"/>
        <w:left w:val="none" w:sz="0" w:space="0" w:color="auto"/>
        <w:bottom w:val="none" w:sz="0" w:space="0" w:color="auto"/>
        <w:right w:val="none" w:sz="0" w:space="0" w:color="auto"/>
      </w:divBdr>
      <w:divsChild>
        <w:div w:id="201314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7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8DBF-D39C-4595-9D9B-20DCF000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31FCDA2D.dotm</Template>
  <TotalTime>16</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Wyvil Primary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5</cp:revision>
  <dcterms:created xsi:type="dcterms:W3CDTF">2016-11-18T15:28:00Z</dcterms:created>
  <dcterms:modified xsi:type="dcterms:W3CDTF">2018-07-25T08:55:00Z</dcterms:modified>
</cp:coreProperties>
</file>